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7434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59F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"Иммунизация детей инактивированной полиомиелитной вакциной (ИПВ). Методические рекомендации. МР 3.3.1.2131-06"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(утв. Роспотребнадзором 14.09.2006)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59F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</w:t>
            </w:r>
            <w:r>
              <w:rPr>
                <w:sz w:val="28"/>
                <w:szCs w:val="28"/>
              </w:rPr>
              <w:t xml:space="preserve">ранения: 17.10.2015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5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59F5">
      <w:pPr>
        <w:pStyle w:val="ConsPlusNormal"/>
        <w:jc w:val="both"/>
        <w:outlineLvl w:val="0"/>
      </w:pPr>
    </w:p>
    <w:p w:rsidR="00000000" w:rsidRDefault="000E59F5">
      <w:pPr>
        <w:pStyle w:val="ConsPlusNormal"/>
        <w:jc w:val="right"/>
        <w:outlineLvl w:val="0"/>
      </w:pPr>
      <w:r>
        <w:t>Утверждаю</w:t>
      </w:r>
    </w:p>
    <w:p w:rsidR="00000000" w:rsidRDefault="000E59F5">
      <w:pPr>
        <w:pStyle w:val="ConsPlusNormal"/>
        <w:jc w:val="right"/>
      </w:pPr>
      <w:r>
        <w:t>Руководитель</w:t>
      </w:r>
    </w:p>
    <w:p w:rsidR="00000000" w:rsidRDefault="000E59F5">
      <w:pPr>
        <w:pStyle w:val="ConsPlusNormal"/>
        <w:jc w:val="right"/>
      </w:pPr>
      <w:r>
        <w:t>Федеральной службы</w:t>
      </w:r>
    </w:p>
    <w:p w:rsidR="00000000" w:rsidRDefault="000E59F5">
      <w:pPr>
        <w:pStyle w:val="ConsPlusNormal"/>
        <w:jc w:val="right"/>
      </w:pPr>
      <w:r>
        <w:t>по надзору в сфере</w:t>
      </w:r>
    </w:p>
    <w:p w:rsidR="00000000" w:rsidRDefault="000E59F5">
      <w:pPr>
        <w:pStyle w:val="ConsPlusNormal"/>
        <w:jc w:val="right"/>
      </w:pPr>
      <w:r>
        <w:t>защиты прав потребителей</w:t>
      </w:r>
    </w:p>
    <w:p w:rsidR="00000000" w:rsidRDefault="000E59F5">
      <w:pPr>
        <w:pStyle w:val="ConsPlusNormal"/>
        <w:jc w:val="right"/>
      </w:pPr>
      <w:r>
        <w:t>и благополучия человека</w:t>
      </w:r>
    </w:p>
    <w:p w:rsidR="00000000" w:rsidRDefault="000E59F5">
      <w:pPr>
        <w:pStyle w:val="ConsPlusNormal"/>
        <w:jc w:val="right"/>
      </w:pPr>
      <w:r>
        <w:t>Г.Г.ОНИЩЕНКО</w:t>
      </w:r>
    </w:p>
    <w:p w:rsidR="00000000" w:rsidRDefault="000E59F5">
      <w:pPr>
        <w:pStyle w:val="ConsPlusNormal"/>
        <w:jc w:val="right"/>
      </w:pPr>
      <w:r>
        <w:t>14 сентября 2006 года</w:t>
      </w:r>
    </w:p>
    <w:p w:rsidR="00000000" w:rsidRDefault="000E59F5">
      <w:pPr>
        <w:pStyle w:val="ConsPlusNormal"/>
      </w:pPr>
    </w:p>
    <w:p w:rsidR="00000000" w:rsidRDefault="000E59F5">
      <w:pPr>
        <w:pStyle w:val="ConsPlusTitle"/>
        <w:jc w:val="center"/>
      </w:pPr>
      <w:r>
        <w:t>ИММУНИЗАЦИЯ ДЕТЕЙ ИНАКТИВИРОВАННОЙ</w:t>
      </w:r>
    </w:p>
    <w:p w:rsidR="00000000" w:rsidRDefault="000E59F5">
      <w:pPr>
        <w:pStyle w:val="ConsPlusTitle"/>
        <w:jc w:val="center"/>
      </w:pPr>
      <w:r>
        <w:t>ПОЛИОМИЕЛИТНОЙ ВАКЦИНОЙ (ИПВ)</w:t>
      </w:r>
    </w:p>
    <w:p w:rsidR="00000000" w:rsidRDefault="000E59F5">
      <w:pPr>
        <w:pStyle w:val="ConsPlusTitle"/>
        <w:jc w:val="center"/>
      </w:pPr>
    </w:p>
    <w:p w:rsidR="00000000" w:rsidRDefault="000E59F5">
      <w:pPr>
        <w:pStyle w:val="ConsPlusTitle"/>
        <w:jc w:val="center"/>
      </w:pPr>
      <w:r>
        <w:t>МЕТОДИЧЕСКИЕ РЕКОМЕНДАЦИИ</w:t>
      </w:r>
    </w:p>
    <w:p w:rsidR="00000000" w:rsidRDefault="000E59F5">
      <w:pPr>
        <w:pStyle w:val="ConsPlusTitle"/>
        <w:jc w:val="center"/>
      </w:pPr>
      <w:r>
        <w:t>МР 3.3.1.2131-06</w:t>
      </w:r>
    </w:p>
    <w:p w:rsidR="00000000" w:rsidRDefault="000E59F5">
      <w:pPr>
        <w:pStyle w:val="ConsPlusNormal"/>
        <w:jc w:val="center"/>
      </w:pPr>
    </w:p>
    <w:p w:rsidR="00000000" w:rsidRDefault="000E59F5">
      <w:pPr>
        <w:pStyle w:val="ConsPlusNormal"/>
        <w:ind w:firstLine="540"/>
        <w:jc w:val="both"/>
      </w:pPr>
      <w:r>
        <w:t>1. Разработаны: Федерал</w:t>
      </w:r>
      <w:r>
        <w:t>ьной службой по надзору в сфере защиты прав потребителей и благополучия человека (Лазикова Г.В., Чистякова Г.Г., Ежлова Е.Б.), ФГУЗ "Федеральный центр гигиены и эпидемиологии" Роспотребнадзора (Чернявская О.П., Ясинский А.А.), НИИ педиатрии НЦЗД РАМН (В.К.</w:t>
      </w:r>
      <w:r>
        <w:t xml:space="preserve"> Таточенко), НИИ полиомиелита и вирусных энцефалитов им. М.П. Чумакова РАМН (С.Г. Дроздов, В.А. Лашкевич), с учетом замечаний и предложений органов и учреждений Роспотребнадзора в г. г. Москве, Санкт-Петербурге, Удмуртской Республике, Хабаровском, Приморск</w:t>
      </w:r>
      <w:r>
        <w:t>ом, Красноярском краях, Ленинградской, Ярославской, Белгородской, Нижегородской, Самарской, Оренбургской, Пермской, Свердловской, Челябинской, Кемеровской, Новосибирской, Иркутской, Калининградской областей.</w:t>
      </w:r>
    </w:p>
    <w:p w:rsidR="00000000" w:rsidRDefault="000E59F5">
      <w:pPr>
        <w:pStyle w:val="ConsPlusNormal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 Г.Г. Онищенко 14 сентября 2006 года.</w:t>
      </w:r>
    </w:p>
    <w:p w:rsidR="00000000" w:rsidRDefault="000E59F5">
      <w:pPr>
        <w:pStyle w:val="ConsPlusNormal"/>
        <w:jc w:val="center"/>
      </w:pPr>
    </w:p>
    <w:p w:rsidR="00000000" w:rsidRDefault="000E59F5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0E59F5">
      <w:pPr>
        <w:pStyle w:val="ConsPlusNormal"/>
        <w:jc w:val="center"/>
      </w:pPr>
    </w:p>
    <w:p w:rsidR="00000000" w:rsidRDefault="000E59F5">
      <w:pPr>
        <w:pStyle w:val="ConsPlusNormal"/>
        <w:ind w:firstLine="540"/>
        <w:jc w:val="both"/>
      </w:pPr>
      <w:r>
        <w:t>В настоящем документе изложены характеристика инактивированной полиомиелитной ва</w:t>
      </w:r>
      <w:r>
        <w:t>кцины (ИПВ), медицинские противопоказания к применению, реакции на ее введение, порядок проведения иммунизации детей этой вакциной.</w:t>
      </w:r>
    </w:p>
    <w:p w:rsidR="00000000" w:rsidRDefault="000E59F5">
      <w:pPr>
        <w:pStyle w:val="ConsPlusNormal"/>
        <w:ind w:firstLine="540"/>
        <w:jc w:val="both"/>
      </w:pPr>
      <w:r>
        <w:t>Методические рекомендации направлены на повышение эффективности вакцинопрофилактики полиомиелита, обеспечение безопасности р</w:t>
      </w:r>
      <w:r>
        <w:t>еципиента вакцины при проведении иммунизации, профилактику поствакцинальных осложнений, прежде всего, вакциноассоциированного паралитического полиомиелита (ВАПП).</w:t>
      </w:r>
    </w:p>
    <w:p w:rsidR="00000000" w:rsidRDefault="000E59F5">
      <w:pPr>
        <w:pStyle w:val="ConsPlusNormal"/>
        <w:ind w:firstLine="540"/>
        <w:jc w:val="both"/>
      </w:pPr>
      <w:r>
        <w:t>Методические рекомендации предназначены для лечебно-профилактических учреждений, независимо о</w:t>
      </w:r>
      <w:r>
        <w:t>т организационно-правовых форм и ведомственной принадлежности, осуществляющих в установленном порядке деятельность в области иммунизации населения, а также для органов и учреждений Федеральной службы по надзору в сфере защиты прав потребителей и благополуч</w:t>
      </w:r>
      <w:r>
        <w:t>ия человека, осуществляющих государственный санитарно-эпидемиологический надзор.</w:t>
      </w:r>
    </w:p>
    <w:p w:rsidR="00000000" w:rsidRDefault="000E59F5">
      <w:pPr>
        <w:pStyle w:val="ConsPlusNormal"/>
        <w:jc w:val="center"/>
      </w:pPr>
    </w:p>
    <w:p w:rsidR="00000000" w:rsidRDefault="000E59F5">
      <w:pPr>
        <w:pStyle w:val="ConsPlusNormal"/>
        <w:jc w:val="center"/>
        <w:outlineLvl w:val="1"/>
      </w:pPr>
      <w:r>
        <w:t>2. Общие положения</w:t>
      </w:r>
    </w:p>
    <w:p w:rsidR="00000000" w:rsidRDefault="000E59F5">
      <w:pPr>
        <w:pStyle w:val="ConsPlusNormal"/>
        <w:jc w:val="center"/>
      </w:pPr>
    </w:p>
    <w:p w:rsidR="00000000" w:rsidRDefault="000E59F5">
      <w:pPr>
        <w:pStyle w:val="ConsPlusNormal"/>
        <w:ind w:firstLine="540"/>
        <w:jc w:val="both"/>
      </w:pPr>
      <w:r>
        <w:t>Глобальная программа ликвидации полиомиелита предусматривает использование оральной полиомиелитной вакцины (ОПВ), обеспечивающей быструю выработку местног</w:t>
      </w:r>
      <w:r>
        <w:t>о иммунитета в кишечнике вакцинированного, препятствующего циркуляции дикого полиовируса.</w:t>
      </w:r>
    </w:p>
    <w:p w:rsidR="00000000" w:rsidRDefault="000E59F5">
      <w:pPr>
        <w:pStyle w:val="ConsPlusNormal"/>
        <w:ind w:firstLine="540"/>
        <w:jc w:val="both"/>
      </w:pPr>
      <w:r>
        <w:t>В постсертификационном периоде иммунизация должна быть продолжена до полной ликвидации инфекции в мире. Однако при использовании ОПВ наряду с безусловно положительным</w:t>
      </w:r>
      <w:r>
        <w:t>и результатами, имеет место минимальный риск развития ВАПП. Ежегодно в России регистрируется до 12 - 16 случаев ВАПП у реципиентов ОПВ и контактных детей, при этом 90% случаев заболеваний возникает у реципиентов вакцины и связано с первой дозой ОПВ.</w:t>
      </w:r>
    </w:p>
    <w:p w:rsidR="00000000" w:rsidRDefault="000E59F5">
      <w:pPr>
        <w:pStyle w:val="ConsPlusNormal"/>
        <w:ind w:firstLine="540"/>
        <w:jc w:val="both"/>
      </w:pPr>
      <w:r>
        <w:t xml:space="preserve">После </w:t>
      </w:r>
      <w:r>
        <w:t>ликвидации полиомиелита в мире (прекращения циркуляции диких полиовирусов) и, соответственно, окончания программ иммунизации ОПВ, возникнет необходимость ее замены на ИПВ для того, чтобы исключить возможность попадания вакцинного вируса в популяцию неиммун</w:t>
      </w:r>
      <w:r>
        <w:t>ного населения.</w:t>
      </w:r>
    </w:p>
    <w:p w:rsidR="00000000" w:rsidRDefault="000E59F5">
      <w:pPr>
        <w:pStyle w:val="ConsPlusNormal"/>
        <w:ind w:firstLine="540"/>
        <w:jc w:val="both"/>
      </w:pPr>
      <w:r>
        <w:t>ИПВ используется как для обеспечения полной схемы иммунизации, так и в сочетании с ОПВ.</w:t>
      </w:r>
    </w:p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jc w:val="center"/>
        <w:outlineLvl w:val="1"/>
      </w:pPr>
      <w:r>
        <w:t>3. Характеристика инактивированной полиомиелитной вакцины</w:t>
      </w:r>
    </w:p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ind w:firstLine="540"/>
        <w:jc w:val="both"/>
      </w:pPr>
      <w:r>
        <w:t>ИПВ используется в виде монопрепарата или в составе комбинированных вакцин.</w:t>
      </w:r>
    </w:p>
    <w:p w:rsidR="00000000" w:rsidRDefault="000E59F5">
      <w:pPr>
        <w:pStyle w:val="ConsPlusNormal"/>
        <w:ind w:firstLine="540"/>
        <w:jc w:val="both"/>
      </w:pPr>
      <w:r>
        <w:t>ИПВ производится</w:t>
      </w:r>
      <w:r>
        <w:t xml:space="preserve"> из вирусов полиомиелита 1, 2, 3 типов, культивируемых на клеточной линии ВЕРО, очищенных и инактивированных формалином.</w:t>
      </w:r>
    </w:p>
    <w:p w:rsidR="00000000" w:rsidRDefault="000E59F5">
      <w:pPr>
        <w:pStyle w:val="ConsPlusNormal"/>
        <w:ind w:firstLine="540"/>
        <w:jc w:val="both"/>
      </w:pPr>
      <w:r>
        <w:t>Одна доза вакцины (0,5 мл) содержит: вирус полиомиелита 1 типа инактивированный - 40 единиц D антигена; вирус полиомиелита 2 типа инакт</w:t>
      </w:r>
      <w:r>
        <w:t>ивированный - 8 единиц D антигена; вирус полиомиелита 3 типа инактивированный - 32 единицы D антигена; 2-феноксиэтанол - 2,5 мкл; формальдегид - 12,5 мкг; среда 199, вода для инъекций - до 0,5 мл.</w:t>
      </w:r>
    </w:p>
    <w:p w:rsidR="00000000" w:rsidRDefault="000E59F5">
      <w:pPr>
        <w:pStyle w:val="ConsPlusNormal"/>
        <w:ind w:firstLine="540"/>
        <w:jc w:val="both"/>
      </w:pPr>
      <w:r>
        <w:t>Среда 199 (без фенола красного) является смесью аминокислот</w:t>
      </w:r>
      <w:r>
        <w:t xml:space="preserve"> (включая фенилаланин), минеральных солей, витаминов (аскорбиновая кислота, биотин, инозит, кальциферол, кальция пантотенат, менадион, никотиновая кислота, никотинамид, парааминобензойная кислота, пиридоксаль гидрохлорид, пиридоксина гидрохлорид, ретинол, </w:t>
      </w:r>
      <w:r>
        <w:t xml:space="preserve">рибофлавин, тиамина гидрохлорид, фолиевая кислота, холина хлорид) и других компонентов (адениловая кислота, аденозина трифосфат натрия, аденин сульфат, альфа токоферола фосфат, деоксирибоза, декстроза, глутатион, гуанина гидрохлорид, гипоксантин, ксантин, </w:t>
      </w:r>
      <w:r>
        <w:t>натрия ацетат, полисорбат 80, рибоза, тимин, урацил, холестерол), растворенных в воде для инъекций. Возможно присутствие остаточного количества стрептомицина, неомицина и полимиксина В, используемых при производстве вакцины.</w:t>
      </w:r>
    </w:p>
    <w:p w:rsidR="00000000" w:rsidRDefault="000E59F5">
      <w:pPr>
        <w:pStyle w:val="ConsPlusNormal"/>
        <w:ind w:firstLine="540"/>
        <w:jc w:val="both"/>
      </w:pPr>
      <w:r>
        <w:t>Вакцина представляет собой бесц</w:t>
      </w:r>
      <w:r>
        <w:t>ветную прозрачную жидкость, выпускается в форме раствора для внутримышечного и подкожного введения, в шприцах (1 доза 0,5 мл, 1 шприц) и в ампулах (1 доза 0,5 мл, 20 ампул в упаковке).</w:t>
      </w:r>
    </w:p>
    <w:p w:rsidR="00000000" w:rsidRDefault="000E59F5">
      <w:pPr>
        <w:pStyle w:val="ConsPlusNormal"/>
        <w:ind w:firstLine="540"/>
        <w:jc w:val="both"/>
      </w:pPr>
      <w:r>
        <w:t>Срок годности препарата - 3 года, вакцина с истекшим сроком годности ис</w:t>
      </w:r>
      <w:r>
        <w:t>пользованию не подлежит. Транспортирование и хранение ИПВ осуществляется в соответствии с санитарно-эпидемиологическими правилами при температуре от 2 °С до 8 °С, замораживанию не подлежит.</w:t>
      </w:r>
    </w:p>
    <w:p w:rsidR="00000000" w:rsidRDefault="000E59F5">
      <w:pPr>
        <w:pStyle w:val="ConsPlusNormal"/>
        <w:ind w:firstLine="540"/>
        <w:jc w:val="both"/>
      </w:pPr>
      <w:r>
        <w:t xml:space="preserve">При использовании ИПВ следует руководствоваться инструкцией по ее </w:t>
      </w:r>
      <w:r>
        <w:t>применению. ИПВ вводят внутримышечно или подкожно в дозе 0,5 мл.</w:t>
      </w:r>
    </w:p>
    <w:p w:rsidR="00000000" w:rsidRDefault="000E59F5">
      <w:pPr>
        <w:pStyle w:val="ConsPlusNormal"/>
        <w:ind w:firstLine="540"/>
        <w:jc w:val="both"/>
      </w:pPr>
      <w:r>
        <w:t>В соответствии с Национальным календарем профилактических прививок курс иммунизации против полиомиелита состоит из 3-х вакцинаций в возрасте 3, 4,5 и 6 мес. и ревакцинаций в возрасте 18, 20 м</w:t>
      </w:r>
      <w:r>
        <w:t>ес. и 14 лет.</w:t>
      </w:r>
    </w:p>
    <w:p w:rsidR="00000000" w:rsidRDefault="000E59F5">
      <w:pPr>
        <w:pStyle w:val="ConsPlusNormal"/>
        <w:ind w:firstLine="540"/>
        <w:jc w:val="both"/>
      </w:pPr>
      <w:r>
        <w:t>ИПВ может применяться одновременно с другими вакцинами (кроме БЦЖ) при условии введения препаратов в разные участки тела с использованием разных шприцев.</w:t>
      </w:r>
    </w:p>
    <w:p w:rsidR="00000000" w:rsidRDefault="000E59F5">
      <w:pPr>
        <w:pStyle w:val="ConsPlusNormal"/>
        <w:jc w:val="center"/>
      </w:pPr>
    </w:p>
    <w:p w:rsidR="00000000" w:rsidRDefault="000E59F5">
      <w:pPr>
        <w:pStyle w:val="ConsPlusNormal"/>
        <w:jc w:val="center"/>
        <w:outlineLvl w:val="1"/>
      </w:pPr>
      <w:r>
        <w:t>4. Противопоказания к применению инактивированной</w:t>
      </w:r>
    </w:p>
    <w:p w:rsidR="00000000" w:rsidRDefault="000E59F5">
      <w:pPr>
        <w:pStyle w:val="ConsPlusNormal"/>
        <w:jc w:val="center"/>
      </w:pPr>
      <w:r>
        <w:t>полиомиелитной вакцины</w:t>
      </w:r>
    </w:p>
    <w:p w:rsidR="00000000" w:rsidRDefault="000E59F5">
      <w:pPr>
        <w:pStyle w:val="ConsPlusNormal"/>
        <w:jc w:val="center"/>
      </w:pPr>
    </w:p>
    <w:p w:rsidR="00000000" w:rsidRDefault="000E59F5">
      <w:pPr>
        <w:pStyle w:val="ConsPlusNormal"/>
        <w:ind w:firstLine="540"/>
        <w:jc w:val="both"/>
      </w:pPr>
      <w:r>
        <w:t>Противопоказаниями к применению ИПВ являются:</w:t>
      </w:r>
    </w:p>
    <w:p w:rsidR="00000000" w:rsidRDefault="000E59F5">
      <w:pPr>
        <w:pStyle w:val="ConsPlusNormal"/>
        <w:ind w:firstLine="540"/>
        <w:jc w:val="both"/>
      </w:pPr>
      <w:r>
        <w:t>- заболевания, сопровождающиеся повышением температуры тела;</w:t>
      </w:r>
    </w:p>
    <w:p w:rsidR="00000000" w:rsidRDefault="000E59F5">
      <w:pPr>
        <w:pStyle w:val="ConsPlusNormal"/>
        <w:ind w:firstLine="540"/>
        <w:jc w:val="both"/>
      </w:pPr>
      <w:r>
        <w:t>- острые проявления инфекционного заболевания;</w:t>
      </w:r>
    </w:p>
    <w:p w:rsidR="00000000" w:rsidRDefault="000E59F5">
      <w:pPr>
        <w:pStyle w:val="ConsPlusNormal"/>
        <w:ind w:firstLine="540"/>
        <w:jc w:val="both"/>
      </w:pPr>
      <w:r>
        <w:t>- обострение хронического заболевания;</w:t>
      </w:r>
    </w:p>
    <w:p w:rsidR="00000000" w:rsidRDefault="000E59F5">
      <w:pPr>
        <w:pStyle w:val="ConsPlusNormal"/>
        <w:ind w:firstLine="540"/>
        <w:jc w:val="both"/>
      </w:pPr>
      <w:r>
        <w:t>- гиперчувствительность к стрептомицину, неомицину, полимиксину</w:t>
      </w:r>
      <w:r>
        <w:t xml:space="preserve"> В;</w:t>
      </w:r>
    </w:p>
    <w:p w:rsidR="00000000" w:rsidRDefault="000E59F5">
      <w:pPr>
        <w:pStyle w:val="ConsPlusNormal"/>
        <w:ind w:firstLine="540"/>
        <w:jc w:val="both"/>
      </w:pPr>
      <w:r>
        <w:t>- гиперчувствительность к компонентам, входящим в состав вакцины.</w:t>
      </w:r>
    </w:p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jc w:val="center"/>
        <w:outlineLvl w:val="1"/>
      </w:pPr>
      <w:r>
        <w:t>5. Реакции на введение инактивированной</w:t>
      </w:r>
    </w:p>
    <w:p w:rsidR="00000000" w:rsidRDefault="000E59F5">
      <w:pPr>
        <w:pStyle w:val="ConsPlusNormal"/>
        <w:jc w:val="center"/>
      </w:pPr>
      <w:r>
        <w:t>полиомиелитной вакцины</w:t>
      </w:r>
    </w:p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ind w:firstLine="540"/>
        <w:jc w:val="both"/>
      </w:pPr>
      <w:r>
        <w:t>Общая частота реакций на введение ИПВ незначительна, составляет менее 0,01%.</w:t>
      </w:r>
    </w:p>
    <w:p w:rsidR="00000000" w:rsidRDefault="000E59F5">
      <w:pPr>
        <w:pStyle w:val="ConsPlusNormal"/>
        <w:ind w:firstLine="540"/>
        <w:jc w:val="both"/>
      </w:pPr>
      <w:r>
        <w:t>Местные реакции (отек, болезненность, покрас</w:t>
      </w:r>
      <w:r>
        <w:t xml:space="preserve">нение и уплотнение в месте инъекции), которые могут возникнуть в течение 48 часов после введения препарата и длиться до 2-х суток, отмечаются в 20% от всех зарегистрированных случаев реакции. А в 10% - кратковременное увеличение температуры тела в течение </w:t>
      </w:r>
      <w:r>
        <w:t>2-х суток после инъекции вакцины.</w:t>
      </w:r>
    </w:p>
    <w:p w:rsidR="00000000" w:rsidRDefault="000E59F5">
      <w:pPr>
        <w:pStyle w:val="ConsPlusNormal"/>
        <w:ind w:firstLine="540"/>
        <w:jc w:val="both"/>
      </w:pPr>
      <w:r>
        <w:t>Возможны также следующие реакции:</w:t>
      </w:r>
    </w:p>
    <w:p w:rsidR="00000000" w:rsidRDefault="000E59F5">
      <w:pPr>
        <w:pStyle w:val="ConsPlusNormal"/>
        <w:ind w:firstLine="540"/>
        <w:jc w:val="both"/>
      </w:pPr>
      <w:r>
        <w:t>- со стороны органов кроветворения и лимфатической системы - увеличение лимфатических узлов;</w:t>
      </w:r>
    </w:p>
    <w:p w:rsidR="00000000" w:rsidRDefault="000E59F5">
      <w:pPr>
        <w:pStyle w:val="ConsPlusNormal"/>
        <w:ind w:firstLine="540"/>
        <w:jc w:val="both"/>
      </w:pPr>
      <w:r>
        <w:t xml:space="preserve">- со стороны иммунной системы - реакции гиперчувствительности к компонентам вакцины такие, как </w:t>
      </w:r>
      <w:r>
        <w:t>аллергическая реакция (сыпь, крапивница), анафилактические реакции и анафилактический шок;</w:t>
      </w:r>
    </w:p>
    <w:p w:rsidR="00000000" w:rsidRDefault="000E59F5">
      <w:pPr>
        <w:pStyle w:val="ConsPlusNormal"/>
        <w:ind w:firstLine="540"/>
        <w:jc w:val="both"/>
      </w:pPr>
      <w:r>
        <w:t>- со стороны костно-мышечной системы - болезненность мышц и суставов;</w:t>
      </w:r>
    </w:p>
    <w:p w:rsidR="00000000" w:rsidRDefault="000E59F5">
      <w:pPr>
        <w:pStyle w:val="ConsPlusNormal"/>
        <w:ind w:firstLine="540"/>
        <w:jc w:val="both"/>
      </w:pPr>
      <w:r>
        <w:t>- со стороны нервной системы - возбуждение, сонливость, раздражительность; кратковременные судо</w:t>
      </w:r>
      <w:r>
        <w:t>роги, судороги, вызванные повышением температуры тела; головная боль; кратковременные и средней продолжительности парестезии (в основном, конечностей) в течение 2 недель после введения.</w:t>
      </w:r>
    </w:p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jc w:val="center"/>
        <w:outlineLvl w:val="1"/>
      </w:pPr>
      <w:r>
        <w:t>6. Порядок проведения иммунизации детей инактивированной</w:t>
      </w:r>
    </w:p>
    <w:p w:rsidR="00000000" w:rsidRDefault="000E59F5">
      <w:pPr>
        <w:pStyle w:val="ConsPlusNormal"/>
        <w:jc w:val="center"/>
      </w:pPr>
      <w:r>
        <w:t>полиомиелитн</w:t>
      </w:r>
      <w:r>
        <w:t>ой вакциной (ИПВ)</w:t>
      </w:r>
    </w:p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ind w:firstLine="540"/>
        <w:jc w:val="both"/>
      </w:pPr>
      <w:r>
        <w:t>При организации и проведении иммунизации детей инактивированной полиомиелитной вакциной ИПВ необходимо руководствоваться соответствующими нормативными и методическими документами, а также инструкцией по ее применению (характеристика преп</w:t>
      </w:r>
      <w:r>
        <w:t>арата, техника его введения в организм, медицинские противопоказания, реактогенность, условия транспортирования и хранения и т.д.).</w:t>
      </w:r>
    </w:p>
    <w:p w:rsidR="00000000" w:rsidRDefault="000E59F5">
      <w:pPr>
        <w:pStyle w:val="ConsPlusNormal"/>
        <w:ind w:firstLine="540"/>
        <w:jc w:val="both"/>
      </w:pPr>
      <w:r>
        <w:t>Иммунизации против полиомиелита ИПВ подлежат следующие контингенты детей.</w:t>
      </w:r>
    </w:p>
    <w:p w:rsidR="00000000" w:rsidRDefault="000E59F5">
      <w:pPr>
        <w:pStyle w:val="ConsPlusNormal"/>
        <w:ind w:firstLine="540"/>
        <w:jc w:val="both"/>
      </w:pPr>
      <w:r>
        <w:t>6.1. Дети раннего возраста с клиническими признака</w:t>
      </w:r>
      <w:r>
        <w:t>ми иммунодефицитного состояния</w:t>
      </w:r>
    </w:p>
    <w:p w:rsidR="00000000" w:rsidRDefault="000E59F5">
      <w:pPr>
        <w:pStyle w:val="ConsPlusNormal"/>
        <w:ind w:firstLine="540"/>
        <w:jc w:val="both"/>
      </w:pPr>
      <w:r>
        <w:t>Такие дети должны получить полный курс иммунизации ИПВ (вакцинация и ревакцинация) в соответствии с Национальным календарем профилактических прививок.</w:t>
      </w:r>
    </w:p>
    <w:p w:rsidR="00000000" w:rsidRDefault="000E59F5">
      <w:pPr>
        <w:pStyle w:val="ConsPlusNormal"/>
        <w:ind w:firstLine="540"/>
        <w:jc w:val="both"/>
      </w:pPr>
      <w:r>
        <w:t>6.2. Дети, ВИЧ-инфицированные или рожденные от ВИЧ-инфицированных матерей</w:t>
      </w:r>
    </w:p>
    <w:p w:rsidR="00000000" w:rsidRDefault="000E59F5">
      <w:pPr>
        <w:pStyle w:val="ConsPlusNormal"/>
        <w:ind w:firstLine="540"/>
        <w:jc w:val="both"/>
      </w:pPr>
      <w:r>
        <w:t>Такие дети должны получить полный курс иммунизации ИПВ (вакцинация и ревакцинация) в соответствии с Национальным календарем профилактических прививок.</w:t>
      </w:r>
    </w:p>
    <w:p w:rsidR="00000000" w:rsidRDefault="000E59F5">
      <w:pPr>
        <w:pStyle w:val="ConsPlusNormal"/>
        <w:ind w:firstLine="540"/>
        <w:jc w:val="both"/>
      </w:pPr>
      <w:r>
        <w:t>6.3. Дети из семей, где имеются больные с иммунодефицитными состояниями</w:t>
      </w:r>
    </w:p>
    <w:p w:rsidR="00000000" w:rsidRDefault="000E59F5">
      <w:pPr>
        <w:pStyle w:val="ConsPlusNormal"/>
        <w:ind w:firstLine="540"/>
        <w:jc w:val="both"/>
      </w:pPr>
      <w:r>
        <w:t>Такие дети должны получить полный</w:t>
      </w:r>
      <w:r>
        <w:t xml:space="preserve"> курс иммунизации ИПВ (вакцинация и ревакцинация) в соответствии с Национальным календарем профилактических прививок.</w:t>
      </w:r>
    </w:p>
    <w:p w:rsidR="00000000" w:rsidRDefault="000E59F5">
      <w:pPr>
        <w:pStyle w:val="ConsPlusNormal"/>
        <w:ind w:firstLine="540"/>
        <w:jc w:val="both"/>
      </w:pPr>
      <w:r>
        <w:t>6.4. Дети с установленным диагнозом онкогематологического заболевания и/или длительно получающие иммуносупрессивную терапию</w:t>
      </w:r>
    </w:p>
    <w:p w:rsidR="00000000" w:rsidRDefault="000E59F5">
      <w:pPr>
        <w:pStyle w:val="ConsPlusNormal"/>
        <w:ind w:firstLine="540"/>
        <w:jc w:val="both"/>
      </w:pPr>
      <w:r>
        <w:t>Такие дети дол</w:t>
      </w:r>
      <w:r>
        <w:t>жны получать полный курс иммунизации ИПВ (вакцинация и ревакцинация) в соответствии с Национальным календарем профилактических прививок.</w:t>
      </w:r>
    </w:p>
    <w:p w:rsidR="00000000" w:rsidRDefault="000E59F5">
      <w:pPr>
        <w:pStyle w:val="ConsPlusNormal"/>
        <w:ind w:firstLine="540"/>
        <w:jc w:val="both"/>
      </w:pPr>
      <w:r>
        <w:t>6.5. Дети, находящиеся на 2 этапе выхаживания и достигшие 3-месячного возраста</w:t>
      </w:r>
    </w:p>
    <w:p w:rsidR="00000000" w:rsidRDefault="000E59F5">
      <w:pPr>
        <w:pStyle w:val="ConsPlusNormal"/>
        <w:ind w:firstLine="540"/>
        <w:jc w:val="both"/>
      </w:pPr>
      <w:r>
        <w:t>Такие дети должны быть трехкратно вакцин</w:t>
      </w:r>
      <w:r>
        <w:t>ированы ИПВ. Ревакцинации проводятся ОПВ в соответствии с Национальным календарем профилактических прививок.</w:t>
      </w:r>
    </w:p>
    <w:p w:rsidR="00000000" w:rsidRDefault="000E59F5">
      <w:pPr>
        <w:pStyle w:val="ConsPlusNormal"/>
        <w:ind w:firstLine="540"/>
        <w:jc w:val="both"/>
      </w:pPr>
      <w:r>
        <w:t>6.6. Воспитанники домов ребенка, дети в социальных приютах</w:t>
      </w:r>
    </w:p>
    <w:p w:rsidR="00000000" w:rsidRDefault="000E59F5">
      <w:pPr>
        <w:pStyle w:val="ConsPlusNormal"/>
        <w:ind w:firstLine="540"/>
        <w:jc w:val="both"/>
      </w:pPr>
      <w:r>
        <w:t>Такие дети должны быть трехкратно вакцинированы ИПВ. Последующие ревакцинации проводятся</w:t>
      </w:r>
      <w:r>
        <w:t xml:space="preserve"> ОПВ в соответствии с Национальным календарем профилактических прививок.</w:t>
      </w:r>
    </w:p>
    <w:p w:rsidR="00000000" w:rsidRDefault="000E59F5">
      <w:pPr>
        <w:pStyle w:val="ConsPlusNormal"/>
        <w:ind w:firstLine="540"/>
        <w:jc w:val="both"/>
      </w:pPr>
      <w:r>
        <w:t>6.7. Дети из многодетных и асоциальных семей, а также проживающих в общежитиях, коммунальных квартирах</w:t>
      </w:r>
    </w:p>
    <w:p w:rsidR="00000000" w:rsidRDefault="000E59F5">
      <w:pPr>
        <w:pStyle w:val="ConsPlusNormal"/>
        <w:ind w:firstLine="540"/>
        <w:jc w:val="both"/>
      </w:pPr>
      <w:r>
        <w:t>Такие дети должны быть трехкратно вакцинированы ИПВ. Последующие ревакцинации пр</w:t>
      </w:r>
      <w:r>
        <w:t>оводятся ОПВ в соответствии с Национальным календарем профилактических прививок.</w:t>
      </w:r>
    </w:p>
    <w:p w:rsidR="00000000" w:rsidRDefault="000E59F5">
      <w:pPr>
        <w:pStyle w:val="ConsPlusNormal"/>
        <w:ind w:firstLine="540"/>
        <w:jc w:val="both"/>
      </w:pPr>
      <w:r>
        <w:t>6.8. Здоровые дети</w:t>
      </w:r>
    </w:p>
    <w:p w:rsidR="00000000" w:rsidRDefault="000E59F5">
      <w:pPr>
        <w:pStyle w:val="ConsPlusNormal"/>
        <w:ind w:firstLine="540"/>
        <w:jc w:val="both"/>
      </w:pPr>
      <w:r>
        <w:t>Для иммунизации против полиомиелита здоровых детей ИПВ может применяться в сочетании с ОПВ.</w:t>
      </w:r>
    </w:p>
    <w:p w:rsidR="00000000" w:rsidRDefault="000E59F5">
      <w:pPr>
        <w:pStyle w:val="ConsPlusNormal"/>
        <w:ind w:firstLine="540"/>
        <w:jc w:val="both"/>
      </w:pPr>
      <w:r>
        <w:t>Рекомендуются следующие схемы сочетанной иммунизации:</w:t>
      </w:r>
    </w:p>
    <w:p w:rsidR="00000000" w:rsidRDefault="000E59F5">
      <w:pPr>
        <w:pStyle w:val="ConsPlusNormal"/>
        <w:ind w:firstLine="540"/>
        <w:jc w:val="both"/>
      </w:pPr>
      <w:r>
        <w:t>- первая в</w:t>
      </w:r>
      <w:r>
        <w:t>акцинация в возрасте 3-х месяцев - ИПВ, вторая, третья вакцинация и последующие ревакцинации - ОПВ в соответствии с Национальным календарем профилактических прививок;</w:t>
      </w:r>
    </w:p>
    <w:p w:rsidR="00000000" w:rsidRDefault="000E59F5">
      <w:pPr>
        <w:pStyle w:val="ConsPlusNormal"/>
        <w:ind w:firstLine="540"/>
        <w:jc w:val="both"/>
      </w:pPr>
      <w:r>
        <w:t>- первая и вторая вакцинация в возрасте 3 и 4,5 месяцев - ИПВ, третья вакцинация и послед</w:t>
      </w:r>
      <w:r>
        <w:t>ующие ревакцинации - ОПВ в соответствии с Национальным календарем профилактических прививок;</w:t>
      </w:r>
    </w:p>
    <w:p w:rsidR="00000000" w:rsidRDefault="000E59F5">
      <w:pPr>
        <w:pStyle w:val="ConsPlusNormal"/>
        <w:ind w:firstLine="540"/>
        <w:jc w:val="both"/>
      </w:pPr>
      <w:r>
        <w:t xml:space="preserve">- первая, вторая и третья вакцинация в возрасте 3, 4,5 и 6 месяцев - ИПВ, последующие ревакцинации - ОПВ в соответствии с Национальным календарем профилактических </w:t>
      </w:r>
      <w:r>
        <w:t>прививок.</w:t>
      </w:r>
    </w:p>
    <w:p w:rsidR="00000000" w:rsidRDefault="000E59F5">
      <w:pPr>
        <w:pStyle w:val="ConsPlusNormal"/>
        <w:ind w:firstLine="540"/>
        <w:jc w:val="both"/>
      </w:pPr>
      <w:r>
        <w:t>При всех рекомендуемых схемах использования ИПВ для вакцинопрофилактики полиомиелита (ИПВ, ИПВ + ОПВ) целесообразно иммунизацию проводить одновременно с вакцинацией и ревакцинацией против коклюша, дифтерии, столбняка (АКДС).</w:t>
      </w:r>
    </w:p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jc w:val="center"/>
      </w:pPr>
      <w:r>
        <w:t>ИММУНИЗАЦИЯ ДЕТЕЙ ИН</w:t>
      </w:r>
      <w:r>
        <w:t>АКТИВИРОВАННОЙ</w:t>
      </w:r>
    </w:p>
    <w:p w:rsidR="00000000" w:rsidRDefault="000E59F5">
      <w:pPr>
        <w:pStyle w:val="ConsPlusNormal"/>
        <w:jc w:val="center"/>
      </w:pPr>
      <w:r>
        <w:t>ПОЛИОМИЕЛИТНОЙ ВАКЦИНОЙ (ИПВ)</w:t>
      </w:r>
    </w:p>
    <w:p w:rsidR="00000000" w:rsidRDefault="000E59F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9"/>
        <w:gridCol w:w="702"/>
        <w:gridCol w:w="702"/>
        <w:gridCol w:w="702"/>
        <w:gridCol w:w="702"/>
        <w:gridCol w:w="702"/>
        <w:gridCol w:w="585"/>
      </w:tblGrid>
      <w:tr w:rsidR="00000000">
        <w:trPr>
          <w:trHeight w:val="248"/>
        </w:trPr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         Контингенты дети          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  Вакцинация  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Ревакцинация </w:t>
            </w:r>
          </w:p>
        </w:tc>
      </w:tr>
      <w:tr w:rsidR="00000000">
        <w:tc>
          <w:tcPr>
            <w:tcW w:w="43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rmal"/>
              <w:ind w:firstLine="540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 3  </w:t>
            </w:r>
          </w:p>
          <w:p w:rsidR="00000000" w:rsidRDefault="000E59F5">
            <w:pPr>
              <w:pStyle w:val="ConsPlusNonformat"/>
            </w:pPr>
            <w:r>
              <w:t>мес.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4,5 </w:t>
            </w:r>
          </w:p>
          <w:p w:rsidR="00000000" w:rsidRDefault="000E59F5">
            <w:pPr>
              <w:pStyle w:val="ConsPlusNonformat"/>
            </w:pPr>
            <w:r>
              <w:t>мес.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 6  </w:t>
            </w:r>
          </w:p>
          <w:p w:rsidR="00000000" w:rsidRDefault="000E59F5">
            <w:pPr>
              <w:pStyle w:val="ConsPlusNonformat"/>
            </w:pPr>
            <w:r>
              <w:t>мес.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 18 </w:t>
            </w:r>
          </w:p>
          <w:p w:rsidR="00000000" w:rsidRDefault="000E59F5">
            <w:pPr>
              <w:pStyle w:val="ConsPlusNonformat"/>
            </w:pPr>
            <w:r>
              <w:t>мес.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 20 </w:t>
            </w:r>
          </w:p>
          <w:p w:rsidR="00000000" w:rsidRDefault="000E59F5">
            <w:pPr>
              <w:pStyle w:val="ConsPlusNonformat"/>
            </w:pPr>
            <w:r>
              <w:t>мес.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14 </w:t>
            </w:r>
          </w:p>
          <w:p w:rsidR="00000000" w:rsidRDefault="000E59F5">
            <w:pPr>
              <w:pStyle w:val="ConsPlusNonformat"/>
            </w:pPr>
            <w:r>
              <w:t>лет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1. Дети раннего возраста с клини-  </w:t>
            </w:r>
          </w:p>
          <w:p w:rsidR="00000000" w:rsidRDefault="000E59F5">
            <w:pPr>
              <w:pStyle w:val="ConsPlusNonformat"/>
            </w:pPr>
            <w:r>
              <w:t xml:space="preserve">ческими признаками иммунодефицит-  </w:t>
            </w:r>
          </w:p>
          <w:p w:rsidR="00000000" w:rsidRDefault="000E59F5">
            <w:pPr>
              <w:pStyle w:val="ConsPlusNonformat"/>
            </w:pPr>
            <w:r>
              <w:t xml:space="preserve">ного состояния  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ИПВ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lastRenderedPageBreak/>
              <w:t>2. Дети, ВИЧ-инфицированные или ро-</w:t>
            </w:r>
          </w:p>
          <w:p w:rsidR="00000000" w:rsidRDefault="000E59F5">
            <w:pPr>
              <w:pStyle w:val="ConsPlusNonformat"/>
            </w:pPr>
            <w:r>
              <w:t>жденные от ВИЧ-инфицированных мате-</w:t>
            </w:r>
          </w:p>
          <w:p w:rsidR="00000000" w:rsidRDefault="000E59F5">
            <w:pPr>
              <w:pStyle w:val="ConsPlusNonformat"/>
            </w:pPr>
            <w:r>
              <w:t xml:space="preserve">рей             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ИПВ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3. Дети из семей, где имеются боль-</w:t>
            </w:r>
          </w:p>
          <w:p w:rsidR="00000000" w:rsidRDefault="000E59F5">
            <w:pPr>
              <w:pStyle w:val="ConsPlusNonformat"/>
            </w:pPr>
            <w:r>
              <w:t>ные с иммунодефицитными состояниями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ИПВ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4. Дети с установленным диагнозом  </w:t>
            </w:r>
          </w:p>
          <w:p w:rsidR="00000000" w:rsidRDefault="000E59F5">
            <w:pPr>
              <w:pStyle w:val="ConsPlusNonformat"/>
            </w:pPr>
            <w:r>
              <w:t xml:space="preserve">онкогематологического заболевания  </w:t>
            </w:r>
          </w:p>
          <w:p w:rsidR="00000000" w:rsidRDefault="000E59F5">
            <w:pPr>
              <w:pStyle w:val="ConsPlusNonformat"/>
            </w:pPr>
            <w:r>
              <w:t xml:space="preserve">и/или длительно получающие иммуно- </w:t>
            </w:r>
          </w:p>
          <w:p w:rsidR="00000000" w:rsidRDefault="000E59F5">
            <w:pPr>
              <w:pStyle w:val="ConsPlusNonformat"/>
            </w:pPr>
            <w:r>
              <w:t xml:space="preserve">супрессивную терапию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ИПВ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5. Дети, находящ</w:t>
            </w:r>
            <w:r>
              <w:t>иеся на 2 этапе вы-</w:t>
            </w:r>
          </w:p>
          <w:p w:rsidR="00000000" w:rsidRDefault="000E59F5">
            <w:pPr>
              <w:pStyle w:val="ConsPlusNonformat"/>
            </w:pPr>
            <w:r>
              <w:t xml:space="preserve">хаживания и достигшие 3-месячного  </w:t>
            </w:r>
          </w:p>
          <w:p w:rsidR="00000000" w:rsidRDefault="000E59F5">
            <w:pPr>
              <w:pStyle w:val="ConsPlusNonformat"/>
            </w:pPr>
            <w:r>
              <w:t xml:space="preserve">возраста        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ОПВ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6. Воспитанники домов ребенка, дети</w:t>
            </w:r>
          </w:p>
          <w:p w:rsidR="00000000" w:rsidRDefault="000E59F5">
            <w:pPr>
              <w:pStyle w:val="ConsPlusNonformat"/>
            </w:pPr>
            <w:r>
              <w:t xml:space="preserve">в социальных приютах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ОПВ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7. </w:t>
            </w:r>
            <w:r>
              <w:t xml:space="preserve">Дети из многодетных и асоциаль- </w:t>
            </w:r>
          </w:p>
          <w:p w:rsidR="00000000" w:rsidRDefault="000E59F5">
            <w:pPr>
              <w:pStyle w:val="ConsPlusNonformat"/>
            </w:pPr>
            <w:r>
              <w:t xml:space="preserve">ных семей, а также проживающих в   </w:t>
            </w:r>
          </w:p>
          <w:p w:rsidR="00000000" w:rsidRDefault="000E59F5">
            <w:pPr>
              <w:pStyle w:val="ConsPlusNonformat"/>
            </w:pPr>
            <w:r>
              <w:t xml:space="preserve">общежитиях, коммунальных квартирах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ОПВ</w:t>
            </w:r>
          </w:p>
        </w:tc>
      </w:tr>
      <w:tr w:rsidR="00000000">
        <w:trPr>
          <w:trHeight w:val="248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8. Здоровые дети       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ИПВ </w:t>
            </w:r>
          </w:p>
          <w:p w:rsidR="00000000" w:rsidRDefault="000E59F5">
            <w:pPr>
              <w:pStyle w:val="ConsPlusNonformat"/>
            </w:pPr>
            <w:r>
              <w:t xml:space="preserve">ИПВ </w:t>
            </w:r>
          </w:p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  <w:p w:rsidR="00000000" w:rsidRDefault="000E59F5">
            <w:pPr>
              <w:pStyle w:val="ConsPlusNonformat"/>
            </w:pPr>
            <w:r>
              <w:t xml:space="preserve">ИПВ </w:t>
            </w:r>
          </w:p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  <w:p w:rsidR="00000000" w:rsidRDefault="000E59F5">
            <w:pPr>
              <w:pStyle w:val="ConsPlusNonformat"/>
            </w:pPr>
            <w:r>
              <w:t xml:space="preserve">ОПВ </w:t>
            </w:r>
          </w:p>
          <w:p w:rsidR="00000000" w:rsidRDefault="000E59F5">
            <w:pPr>
              <w:pStyle w:val="ConsPlusNonformat"/>
            </w:pPr>
            <w:r>
              <w:t xml:space="preserve">ИПВ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  <w:p w:rsidR="00000000" w:rsidRDefault="000E59F5">
            <w:pPr>
              <w:pStyle w:val="ConsPlusNonformat"/>
            </w:pPr>
            <w:r>
              <w:t xml:space="preserve">ОПВ </w:t>
            </w:r>
          </w:p>
          <w:p w:rsidR="00000000" w:rsidRDefault="000E59F5">
            <w:pPr>
              <w:pStyle w:val="ConsPlusNonformat"/>
            </w:pPr>
            <w:r>
              <w:t xml:space="preserve">ОПВ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 xml:space="preserve">ОПВ </w:t>
            </w:r>
          </w:p>
          <w:p w:rsidR="00000000" w:rsidRDefault="000E59F5">
            <w:pPr>
              <w:pStyle w:val="ConsPlusNonformat"/>
            </w:pPr>
            <w:r>
              <w:t xml:space="preserve">ОПВ </w:t>
            </w:r>
          </w:p>
          <w:p w:rsidR="00000000" w:rsidRDefault="000E59F5">
            <w:pPr>
              <w:pStyle w:val="ConsPlusNonformat"/>
            </w:pPr>
            <w:r>
              <w:t xml:space="preserve">ОПВ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59F5">
            <w:pPr>
              <w:pStyle w:val="ConsPlusNonformat"/>
            </w:pPr>
            <w:r>
              <w:t>ОПВ</w:t>
            </w:r>
          </w:p>
          <w:p w:rsidR="00000000" w:rsidRDefault="000E59F5">
            <w:pPr>
              <w:pStyle w:val="ConsPlusNonformat"/>
            </w:pPr>
            <w:r>
              <w:t>ОПВ</w:t>
            </w:r>
          </w:p>
          <w:p w:rsidR="00000000" w:rsidRDefault="000E59F5">
            <w:pPr>
              <w:pStyle w:val="ConsPlusNonformat"/>
            </w:pPr>
            <w:r>
              <w:t>ОПВ</w:t>
            </w:r>
          </w:p>
        </w:tc>
      </w:tr>
    </w:tbl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ind w:firstLine="540"/>
        <w:jc w:val="both"/>
      </w:pPr>
      <w:r>
        <w:t>Примечание. При организации и проведении иммунизации детей инактивированной полиомиелитной вакциной (ИПВ) необходимо руководствоваться соответствующими нормативными и методическими документами, а также инструкцией по ее применению (характеристика пре</w:t>
      </w:r>
      <w:r>
        <w:t>парата, техника его введения в организм, медицинские противопоказания, реактогенность, условия транспортирования и хранения и т.д.).</w:t>
      </w:r>
    </w:p>
    <w:p w:rsidR="00000000" w:rsidRDefault="000E59F5">
      <w:pPr>
        <w:pStyle w:val="ConsPlusNormal"/>
        <w:ind w:firstLine="540"/>
        <w:jc w:val="both"/>
      </w:pPr>
    </w:p>
    <w:p w:rsidR="00000000" w:rsidRDefault="000E59F5">
      <w:pPr>
        <w:pStyle w:val="ConsPlusNormal"/>
        <w:ind w:firstLine="540"/>
        <w:jc w:val="both"/>
      </w:pPr>
    </w:p>
    <w:p w:rsidR="000E59F5" w:rsidRDefault="000E59F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E59F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F5" w:rsidRDefault="000E59F5">
      <w:pPr>
        <w:spacing w:after="0" w:line="240" w:lineRule="auto"/>
      </w:pPr>
      <w:r>
        <w:separator/>
      </w:r>
    </w:p>
  </w:endnote>
  <w:endnote w:type="continuationSeparator" w:id="0">
    <w:p w:rsidR="000E59F5" w:rsidRDefault="000E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9F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9F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9F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7434B">
            <w:fldChar w:fldCharType="separate"/>
          </w:r>
          <w:r w:rsidR="0007434B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7434B">
            <w:fldChar w:fldCharType="separate"/>
          </w:r>
          <w:r w:rsidR="0007434B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0E59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F5" w:rsidRDefault="000E59F5">
      <w:pPr>
        <w:spacing w:after="0" w:line="240" w:lineRule="auto"/>
      </w:pPr>
      <w:r>
        <w:separator/>
      </w:r>
    </w:p>
  </w:footnote>
  <w:footnote w:type="continuationSeparator" w:id="0">
    <w:p w:rsidR="000E59F5" w:rsidRDefault="000E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9F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"Иммунизация детей инактивированной полиомиелитной вакциной (ИПВ). Методические рекомендации. МР 3.3.1.2131-06"</w:t>
          </w:r>
          <w:r>
            <w:rPr>
              <w:sz w:val="16"/>
              <w:szCs w:val="16"/>
            </w:rPr>
            <w:br/>
            <w:t>(утв.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9F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E59F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9F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17.10.2015</w:t>
          </w:r>
        </w:p>
      </w:tc>
    </w:tr>
  </w:tbl>
  <w:p w:rsidR="00000000" w:rsidRDefault="000E59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59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4B"/>
    <w:rsid w:val="0007434B"/>
    <w:rsid w:val="000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10295</Characters>
  <Application>Microsoft Office Word</Application>
  <DocSecurity>2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"Иммунизация детей инактивированной полиомиелитной вакциной (ИПВ). Методические рекомендации. МР 3.3.1.2131-06"(утв. Роспотребнадзором 14.09.2006)</vt:lpstr>
    </vt:vector>
  </TitlesOfParts>
  <Company>КонсультантПлюс Версия 4012.00.88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"Иммунизация детей инактивированной полиомиелитной вакциной (ИПВ). Методические рекомендации. МР 3.3.1.2131-06"(утв. Роспотребнадзором 14.09.2006)</dc:title>
  <dc:creator>сотрудник</dc:creator>
  <cp:lastModifiedBy>сотрудник</cp:lastModifiedBy>
  <cp:revision>2</cp:revision>
  <dcterms:created xsi:type="dcterms:W3CDTF">2015-11-12T05:30:00Z</dcterms:created>
  <dcterms:modified xsi:type="dcterms:W3CDTF">2015-11-12T05:30:00Z</dcterms:modified>
</cp:coreProperties>
</file>